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59A" w:rsidRDefault="004F4E5C">
      <w:pPr>
        <w:jc w:val="center"/>
        <w:rPr>
          <w:sz w:val="28"/>
          <w:szCs w:val="28"/>
          <w:u w:val="single"/>
        </w:rPr>
      </w:pPr>
      <w:r>
        <w:rPr>
          <w:sz w:val="28"/>
          <w:szCs w:val="28"/>
          <w:u w:val="single"/>
        </w:rPr>
        <w:t>Reading</w:t>
      </w:r>
      <w:r>
        <w:rPr>
          <w:noProof/>
          <w:sz w:val="28"/>
          <w:szCs w:val="28"/>
          <w:u w:val="single"/>
        </w:rPr>
        <mc:AlternateContent>
          <mc:Choice Requires="wpg">
            <w:drawing>
              <wp:anchor distT="0" distB="0" distL="114300" distR="114300" simplePos="0" relativeHeight="251658240" behindDoc="0" locked="0" layoutInCell="1" hidden="0" allowOverlap="1">
                <wp:simplePos x="0" y="0"/>
                <wp:positionH relativeFrom="page">
                  <wp:posOffset>6126480</wp:posOffset>
                </wp:positionH>
                <wp:positionV relativeFrom="page">
                  <wp:posOffset>632460</wp:posOffset>
                </wp:positionV>
                <wp:extent cx="800100" cy="640080"/>
                <wp:effectExtent l="0" t="0" r="0" b="0"/>
                <wp:wrapSquare wrapText="bothSides" distT="0" distB="0" distL="114300" distR="114300"/>
                <wp:docPr id="2" name=""/>
                <wp:cNvGraphicFramePr/>
                <a:graphic xmlns:a="http://schemas.openxmlformats.org/drawingml/2006/main">
                  <a:graphicData uri="http://schemas.microsoft.com/office/word/2010/wordprocessingGroup">
                    <wpg:wgp>
                      <wpg:cNvGrpSpPr/>
                      <wpg:grpSpPr>
                        <a:xfrm>
                          <a:off x="0" y="0"/>
                          <a:ext cx="800100" cy="640080"/>
                          <a:chOff x="4945950" y="3459950"/>
                          <a:chExt cx="800125" cy="640100"/>
                        </a:xfrm>
                      </wpg:grpSpPr>
                      <wpg:grpSp>
                        <wpg:cNvPr id="1" name="Group 1"/>
                        <wpg:cNvGrpSpPr/>
                        <wpg:grpSpPr>
                          <a:xfrm>
                            <a:off x="4945950" y="3459960"/>
                            <a:ext cx="800100" cy="640080"/>
                            <a:chOff x="0" y="0"/>
                            <a:chExt cx="8894" cy="9548"/>
                          </a:xfrm>
                        </wpg:grpSpPr>
                        <wps:wsp>
                          <wps:cNvPr id="3" name="Rectangle 3"/>
                          <wps:cNvSpPr/>
                          <wps:spPr>
                            <a:xfrm>
                              <a:off x="0" y="0"/>
                              <a:ext cx="8875" cy="9525"/>
                            </a:xfrm>
                            <a:prstGeom prst="rect">
                              <a:avLst/>
                            </a:prstGeom>
                            <a:noFill/>
                            <a:ln>
                              <a:noFill/>
                            </a:ln>
                          </wps:spPr>
                          <wps:txbx>
                            <w:txbxContent>
                              <w:p w:rsidR="0029459A" w:rsidRDefault="0029459A">
                                <w:pPr>
                                  <w:spacing w:after="0" w:line="240" w:lineRule="auto"/>
                                  <w:textDirection w:val="btLr"/>
                                </w:pPr>
                              </w:p>
                            </w:txbxContent>
                          </wps:txbx>
                          <wps:bodyPr spcFirstLastPara="1" wrap="square" lIns="91425" tIns="91425" rIns="91425" bIns="91425" anchor="ctr" anchorCtr="0">
                            <a:noAutofit/>
                          </wps:bodyPr>
                        </wps:wsp>
                        <wps:wsp>
                          <wps:cNvPr id="4" name="Freeform 4"/>
                          <wps:cNvSpPr/>
                          <wps:spPr>
                            <a:xfrm>
                              <a:off x="2104" y="2813"/>
                              <a:ext cx="4683" cy="5226"/>
                            </a:xfrm>
                            <a:custGeom>
                              <a:avLst/>
                              <a:gdLst/>
                              <a:ahLst/>
                              <a:cxnLst/>
                              <a:rect l="l" t="t" r="r" b="b"/>
                              <a:pathLst>
                                <a:path w="4683" h="5226" extrusionOk="0">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spcFirstLastPara="1" wrap="square" lIns="91425" tIns="91425" rIns="91425" bIns="91425" anchor="ctr" anchorCtr="0">
                            <a:noAutofit/>
                          </wps:bodyPr>
                        </wps:wsp>
                        <wps:wsp>
                          <wps:cNvPr id="5" name="Freeform 5"/>
                          <wps:cNvSpPr/>
                          <wps:spPr>
                            <a:xfrm>
                              <a:off x="2165" y="2908"/>
                              <a:ext cx="4562" cy="5493"/>
                            </a:xfrm>
                            <a:custGeom>
                              <a:avLst/>
                              <a:gdLst/>
                              <a:ahLst/>
                              <a:cxnLst/>
                              <a:rect l="l" t="t" r="r" b="b"/>
                              <a:pathLst>
                                <a:path w="4562" h="5493" extrusionOk="0">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spcFirstLastPara="1" wrap="square" lIns="91425" tIns="91425" rIns="91425" bIns="91425" anchor="ctr" anchorCtr="0">
                            <a:noAutofit/>
                          </wps:bodyPr>
                        </wps:wsp>
                        <pic:pic xmlns:pic="http://schemas.openxmlformats.org/drawingml/2006/picture">
                          <pic:nvPicPr>
                            <pic:cNvPr id="10" name="Shape 10"/>
                            <pic:cNvPicPr preferRelativeResize="0"/>
                          </pic:nvPicPr>
                          <pic:blipFill rotWithShape="1">
                            <a:blip r:embed="rId4">
                              <a:alphaModFix/>
                            </a:blip>
                            <a:srcRect/>
                            <a:stretch/>
                          </pic:blipFill>
                          <pic:spPr>
                            <a:xfrm>
                              <a:off x="0" y="0"/>
                              <a:ext cx="8894" cy="954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Pr>
          <w:noProof/>
          <w:sz w:val="28"/>
          <w:szCs w:val="28"/>
          <w:u w:val="single"/>
        </w:rPr>
        <mc:AlternateContent>
          <mc:Choice Requires="wpg">
            <w:drawing>
              <wp:anchor distT="0" distB="0" distL="114300" distR="114300" simplePos="0" relativeHeight="251659264" behindDoc="0" locked="0" layoutInCell="1" hidden="0" allowOverlap="1">
                <wp:simplePos x="0" y="0"/>
                <wp:positionH relativeFrom="page">
                  <wp:posOffset>563880</wp:posOffset>
                </wp:positionH>
                <wp:positionV relativeFrom="page">
                  <wp:posOffset>579120</wp:posOffset>
                </wp:positionV>
                <wp:extent cx="800100" cy="640080"/>
                <wp:effectExtent l="0" t="0" r="0" b="0"/>
                <wp:wrapSquare wrapText="bothSides" distT="0" distB="0" distL="114300" distR="114300"/>
                <wp:docPr id="1" name=""/>
                <wp:cNvGraphicFramePr/>
                <a:graphic xmlns:a="http://schemas.openxmlformats.org/drawingml/2006/main">
                  <a:graphicData uri="http://schemas.microsoft.com/office/word/2010/wordprocessingGroup">
                    <wpg:wgp>
                      <wpg:cNvGrpSpPr/>
                      <wpg:grpSpPr>
                        <a:xfrm>
                          <a:off x="0" y="0"/>
                          <a:ext cx="800100" cy="640080"/>
                          <a:chOff x="4945950" y="3459950"/>
                          <a:chExt cx="800125" cy="640100"/>
                        </a:xfrm>
                      </wpg:grpSpPr>
                      <wpg:grpSp>
                        <wpg:cNvPr id="7" name="Group 7"/>
                        <wpg:cNvGrpSpPr/>
                        <wpg:grpSpPr>
                          <a:xfrm>
                            <a:off x="4945950" y="3459960"/>
                            <a:ext cx="800100" cy="640080"/>
                            <a:chOff x="0" y="0"/>
                            <a:chExt cx="8894" cy="9548"/>
                          </a:xfrm>
                        </wpg:grpSpPr>
                        <wps:wsp>
                          <wps:cNvPr id="8" name="Rectangle 8"/>
                          <wps:cNvSpPr/>
                          <wps:spPr>
                            <a:xfrm>
                              <a:off x="0" y="0"/>
                              <a:ext cx="8875" cy="9525"/>
                            </a:xfrm>
                            <a:prstGeom prst="rect">
                              <a:avLst/>
                            </a:prstGeom>
                            <a:noFill/>
                            <a:ln>
                              <a:noFill/>
                            </a:ln>
                          </wps:spPr>
                          <wps:txbx>
                            <w:txbxContent>
                              <w:p w:rsidR="0029459A" w:rsidRDefault="0029459A">
                                <w:pPr>
                                  <w:spacing w:after="0" w:line="240" w:lineRule="auto"/>
                                  <w:textDirection w:val="btLr"/>
                                </w:pPr>
                              </w:p>
                            </w:txbxContent>
                          </wps:txbx>
                          <wps:bodyPr spcFirstLastPara="1" wrap="square" lIns="91425" tIns="91425" rIns="91425" bIns="91425" anchor="ctr" anchorCtr="0">
                            <a:noAutofit/>
                          </wps:bodyPr>
                        </wps:wsp>
                        <wps:wsp>
                          <wps:cNvPr id="9" name="Freeform 9"/>
                          <wps:cNvSpPr/>
                          <wps:spPr>
                            <a:xfrm>
                              <a:off x="2104" y="2813"/>
                              <a:ext cx="4683" cy="5226"/>
                            </a:xfrm>
                            <a:custGeom>
                              <a:avLst/>
                              <a:gdLst/>
                              <a:ahLst/>
                              <a:cxnLst/>
                              <a:rect l="l" t="t" r="r" b="b"/>
                              <a:pathLst>
                                <a:path w="4683" h="5226" extrusionOk="0">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spcFirstLastPara="1" wrap="square" lIns="91425" tIns="91425" rIns="91425" bIns="91425" anchor="ctr" anchorCtr="0">
                            <a:noAutofit/>
                          </wps:bodyPr>
                        </wps:wsp>
                        <wps:wsp>
                          <wps:cNvPr id="11" name="Freeform 11"/>
                          <wps:cNvSpPr/>
                          <wps:spPr>
                            <a:xfrm>
                              <a:off x="2165" y="2908"/>
                              <a:ext cx="4562" cy="5493"/>
                            </a:xfrm>
                            <a:custGeom>
                              <a:avLst/>
                              <a:gdLst/>
                              <a:ahLst/>
                              <a:cxnLst/>
                              <a:rect l="l" t="t" r="r" b="b"/>
                              <a:pathLst>
                                <a:path w="4562" h="5493" extrusionOk="0">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spcFirstLastPara="1" wrap="square" lIns="91425" tIns="91425" rIns="91425" bIns="91425" anchor="ctr" anchorCtr="0">
                            <a:noAutofit/>
                          </wps:bodyPr>
                        </wps:wsp>
                        <pic:pic xmlns:pic="http://schemas.openxmlformats.org/drawingml/2006/picture">
                          <pic:nvPicPr>
                            <pic:cNvPr id="12" name="Shape 6"/>
                            <pic:cNvPicPr preferRelativeResize="0"/>
                          </pic:nvPicPr>
                          <pic:blipFill rotWithShape="1">
                            <a:blip r:embed="rId4">
                              <a:alphaModFix/>
                            </a:blip>
                            <a:srcRect/>
                            <a:stretch/>
                          </pic:blipFill>
                          <pic:spPr>
                            <a:xfrm>
                              <a:off x="0" y="0"/>
                              <a:ext cx="8894" cy="9548"/>
                            </a:xfrm>
                            <a:prstGeom prst="rect">
                              <a:avLst/>
                            </a:prstGeom>
                            <a:noFill/>
                            <a:ln>
                              <a:noFill/>
                            </a:ln>
                          </pic:spPr>
                        </pic:pic>
                      </wpg:grpSp>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Pr>
          <w:sz w:val="28"/>
          <w:szCs w:val="28"/>
          <w:u w:val="single"/>
        </w:rPr>
        <w:t xml:space="preserve"> At Whittaker Moss Primary</w:t>
      </w:r>
    </w:p>
    <w:p w:rsidR="0029459A" w:rsidRDefault="0029459A">
      <w:pPr>
        <w:ind w:firstLine="720"/>
        <w:rPr>
          <w:u w:val="single"/>
        </w:rPr>
      </w:pPr>
    </w:p>
    <w:p w:rsidR="0029459A" w:rsidRDefault="004F4E5C">
      <w:pPr>
        <w:rPr>
          <w:u w:val="single"/>
        </w:rPr>
      </w:pPr>
      <w:r>
        <w:rPr>
          <w:u w:val="single"/>
        </w:rPr>
        <w:t>Reading</w:t>
      </w:r>
      <w:r>
        <w:rPr>
          <w:u w:val="single"/>
        </w:rPr>
        <w:t xml:space="preserve"> Intent </w:t>
      </w:r>
    </w:p>
    <w:p w:rsidR="0029459A" w:rsidRDefault="004F4E5C">
      <w:r>
        <w:t xml:space="preserve">At Whittaker Moss we know that reading is the key to academic success. Our reading curriculum is designed to promote curiosity and a love of learning. It is ambitious and encourages children to become lifelong readers. Through high expectations we encourage children to read regularly </w:t>
      </w:r>
      <w:r>
        <w:t xml:space="preserve">and widely for both the purposes of education and enjoyment. </w:t>
      </w:r>
    </w:p>
    <w:p w:rsidR="0029459A" w:rsidRDefault="004F4E5C">
      <w:r>
        <w:t>We want to equip children with not only the minimum statutory requirements of the National Curriculum but to also prepare them for the responsibilities and experien</w:t>
      </w:r>
      <w:r>
        <w:t xml:space="preserve">ces of later life. </w:t>
      </w:r>
    </w:p>
    <w:p w:rsidR="0029459A" w:rsidRDefault="004F4E5C">
      <w:r>
        <w:t>Throughout school, children are exposed to high quality texts by a diverse range of authors both modern and classic. Through whole class, shared and guided reading sessions children develop their word reading skills alongside their comp</w:t>
      </w:r>
      <w:r>
        <w:t>rehension skills. Pre-planned cross curricular topic lessons are used to embed reading skills and increase children’s understanding of vocabulary as they encounter words which they would rarely use or hear in everyday speech.</w:t>
      </w:r>
    </w:p>
    <w:p w:rsidR="0029459A" w:rsidRDefault="004F4E5C">
      <w:r>
        <w:t>At Whittaker Moss our aim is t</w:t>
      </w:r>
      <w:r>
        <w:t>o ensure that children are confident and independent readers as we develop a learning to read approach into a reading to learn experience.</w:t>
      </w:r>
    </w:p>
    <w:p w:rsidR="0029459A" w:rsidRDefault="004F4E5C">
      <w:pPr>
        <w:rPr>
          <w:u w:val="single"/>
        </w:rPr>
      </w:pPr>
      <w:r>
        <w:rPr>
          <w:u w:val="single"/>
        </w:rPr>
        <w:t>Reading Implementation</w:t>
      </w:r>
    </w:p>
    <w:p w:rsidR="0029459A" w:rsidRDefault="004F4E5C">
      <w:r>
        <w:t>At Whittaker Moss we know that reading is one of the most important things that our children i</w:t>
      </w:r>
      <w:r>
        <w:t>n school will learn to do and it is at the very heart of our school curriculum. We know that it underpins all of our other curriculum areas, so our aim is for all children to learn to read as quickly as possible. We want all children to develop a love of r</w:t>
      </w:r>
      <w:r>
        <w:t>eading, not simply learn to read so we work hard to develop children’s love of books by sharing a range of quality texts within each year group.</w:t>
      </w:r>
    </w:p>
    <w:p w:rsidR="0029459A" w:rsidRDefault="004F4E5C">
      <w:r>
        <w:t>At Whittaker Moss we teach the statutory requirements for reading from the National curriculum through Cornerst</w:t>
      </w:r>
      <w:r>
        <w:t>ones topics and high quality texts. The curriculum has been carefully crafted to ensure progression and repetition in terms of embedding key learning, knowledge and skills. Carefully selected authors and texts are mapped out across the school in order to d</w:t>
      </w:r>
      <w:r>
        <w:t>evelop children’s word reading, understanding of vocabulary and comprehension skills. Our aim is to encourage children to be fluent, enthusiastic and critical readers and we</w:t>
      </w:r>
      <w:r>
        <w:t xml:space="preserve"> develop these skills through shared, guided and individual reading experiences an</w:t>
      </w:r>
      <w:r>
        <w:t>d clear expectations.</w:t>
      </w:r>
    </w:p>
    <w:p w:rsidR="0029459A" w:rsidRDefault="004F4E5C">
      <w:r>
        <w:t xml:space="preserve">Poets and poetical devices are also carefully woven into each year group to develop children’s love of language and the spoken word. </w:t>
      </w:r>
    </w:p>
    <w:p w:rsidR="0029459A" w:rsidRDefault="004F4E5C">
      <w:r>
        <w:t>As soon as the children start at Whittaker Moss in Nursery, we begin teaching phonics using our synt</w:t>
      </w:r>
      <w:r>
        <w:t xml:space="preserve">hetics phonics program and the teaching of phonics continues into Key stage 1 and is used with some children in KS2 where appropriate. Within Nursery, we promote the love of books by modelling reading, sharing stories and encouraging children to explore a </w:t>
      </w:r>
      <w:r>
        <w:t>range of books as part of their daily routine. This then continues into Reception and the rest of the school, where children will learn to decode and blend words</w:t>
      </w:r>
      <w:r>
        <w:t xml:space="preserve"> and develop their comprehension skills side by side. This is achieved by taking part in daily</w:t>
      </w:r>
      <w:r>
        <w:t xml:space="preserve"> phonic lessons (where appropriate) as well as shared, guided </w:t>
      </w:r>
      <w:r>
        <w:t>and independent reading sessions. R</w:t>
      </w:r>
      <w:r>
        <w:t>eading comprehension lessons are intertwined throughout literacy units of work from Year 2 to Year 6.</w:t>
      </w:r>
      <w:r>
        <w:t xml:space="preserve"> </w:t>
      </w:r>
    </w:p>
    <w:p w:rsidR="0029459A" w:rsidRDefault="004F4E5C">
      <w:r>
        <w:lastRenderedPageBreak/>
        <w:t xml:space="preserve">In addition, children </w:t>
      </w:r>
      <w:r>
        <w:t>have access to the school library where they can choose a book to read for pleasure.</w:t>
      </w:r>
    </w:p>
    <w:p w:rsidR="0029459A" w:rsidRDefault="004F4E5C">
      <w:r>
        <w:t>Text tubs are used in Guided reading sessions where children have access to books relating t</w:t>
      </w:r>
      <w:r>
        <w:t>o their Cornerstones topic. This gives the children an opportunity to apply their reading skills across the curriculum. Within the guided reading carousel, all children access reading activities which are designed to match to their reading ability and embe</w:t>
      </w:r>
      <w:r>
        <w:t>d key reading skills. Using both formative and summative assessment information we are able to systematically plan ways to support children on their reading journey and move their learning on, in a rapid and purposeful way.</w:t>
      </w:r>
    </w:p>
    <w:p w:rsidR="0029459A" w:rsidRDefault="004F4E5C">
      <w:r>
        <w:t xml:space="preserve">At Whittaker Moss, children are </w:t>
      </w:r>
      <w:r>
        <w:t>read to by their teacher. This might be a book chosen by the teacher or a book selected by a child that they want to recommend to their class. We endeavour to link books to children’s own experiences. We acknowledge that much of the cultural capital that a</w:t>
      </w:r>
      <w:r>
        <w:t xml:space="preserve"> child will experience in their young lives is enclosed within the cover of a book and we aim to inspire a world of knowledge and imagination through their engagement of texts and submergence in high quality reading experiences.</w:t>
      </w:r>
    </w:p>
    <w:p w:rsidR="0029459A" w:rsidRDefault="0029459A"/>
    <w:p w:rsidR="0029459A" w:rsidRDefault="004F4E5C">
      <w:pPr>
        <w:rPr>
          <w:u w:val="single"/>
        </w:rPr>
      </w:pPr>
      <w:r>
        <w:rPr>
          <w:u w:val="single"/>
        </w:rPr>
        <w:t xml:space="preserve">Reading Impact </w:t>
      </w:r>
    </w:p>
    <w:p w:rsidR="0029459A" w:rsidRDefault="004F4E5C">
      <w:r>
        <w:t>The implem</w:t>
      </w:r>
      <w:r>
        <w:t>entation of this reading curriculum, ensures that when children leave Whittaker Moss Primary school they will become fluent, confident and able readers who can access a range of books for pleasure and enjoyment. They will also be able to use their well-developed</w:t>
      </w:r>
      <w:r>
        <w:t xml:space="preserve"> reading skills to unlock their learning in all the other areas of the curriculum. Our aim is for our children to master key reading skills that will benefit them for the rest of their lives and </w:t>
      </w:r>
      <w:bookmarkStart w:id="0" w:name="_GoBack"/>
      <w:bookmarkEnd w:id="0"/>
      <w:r>
        <w:t>for them to develop a passion for reading that will tr</w:t>
      </w:r>
      <w:r>
        <w:t>avel with them and grow and develop as they do.</w:t>
      </w:r>
    </w:p>
    <w:p w:rsidR="0029459A" w:rsidRDefault="0029459A"/>
    <w:sectPr w:rsidR="0029459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59A"/>
    <w:rsid w:val="0029459A"/>
    <w:rsid w:val="004F4E5C"/>
    <w:rsid w:val="00A14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40840"/>
  <w15:docId w15:val="{20225728-7445-4A42-BC6C-644A4822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761</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Lane</dc:creator>
  <cp:lastModifiedBy>Debbie Lane</cp:lastModifiedBy>
  <cp:revision>3</cp:revision>
  <dcterms:created xsi:type="dcterms:W3CDTF">2023-08-13T10:48:00Z</dcterms:created>
  <dcterms:modified xsi:type="dcterms:W3CDTF">2023-08-13T10:57:00Z</dcterms:modified>
</cp:coreProperties>
</file>